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121" w:rsidRPr="00066820" w:rsidRDefault="00050121" w:rsidP="00050121">
      <w:pPr>
        <w:ind w:right="282"/>
        <w:jc w:val="center"/>
        <w:rPr>
          <w:rFonts w:ascii="Montserrat" w:hAnsi="Montserrat"/>
          <w:b/>
        </w:rPr>
      </w:pPr>
      <w:bookmarkStart w:id="0" w:name="_Hlk111497140"/>
      <w:r w:rsidRPr="00066820">
        <w:rPr>
          <w:rFonts w:ascii="Montserrat" w:hAnsi="Montserrat"/>
          <w:b/>
        </w:rPr>
        <w:t xml:space="preserve">C O N V O C A T O R I A </w:t>
      </w:r>
      <w:bookmarkStart w:id="1" w:name="_GoBack"/>
      <w:bookmarkEnd w:id="1"/>
    </w:p>
    <w:p w:rsidR="00050121" w:rsidRPr="001F11C4" w:rsidRDefault="00050121" w:rsidP="00050121">
      <w:pPr>
        <w:ind w:right="282"/>
        <w:rPr>
          <w:rFonts w:ascii="Montserrat" w:eastAsia="Calibri" w:hAnsi="Montserrat" w:cs="Times New Roman"/>
          <w:color w:val="262626" w:themeColor="text1" w:themeTint="D9"/>
          <w:sz w:val="12"/>
          <w:szCs w:val="20"/>
          <w:lang w:val="es-MX"/>
        </w:rPr>
      </w:pPr>
    </w:p>
    <w:p w:rsidR="00050121" w:rsidRPr="00250E2C" w:rsidRDefault="00050121" w:rsidP="00050121">
      <w:pPr>
        <w:ind w:right="282"/>
        <w:jc w:val="both"/>
        <w:rPr>
          <w:rFonts w:ascii="Montserrat" w:hAnsi="Montserrat"/>
          <w:sz w:val="18"/>
          <w:szCs w:val="18"/>
          <w:lang w:val="es-MX"/>
        </w:rPr>
      </w:pPr>
      <w:r w:rsidRPr="00250E2C">
        <w:rPr>
          <w:rFonts w:ascii="Montserrat" w:hAnsi="Montserrat"/>
          <w:sz w:val="18"/>
          <w:szCs w:val="18"/>
          <w:lang w:val="es-MX"/>
        </w:rPr>
        <w:t>Con fundamento en el artículo 64 de la Ley Federal de Transparencia y Acceso a la Información Pública</w:t>
      </w:r>
      <w:r>
        <w:rPr>
          <w:rFonts w:ascii="Montserrat" w:hAnsi="Montserrat"/>
          <w:sz w:val="18"/>
          <w:szCs w:val="18"/>
          <w:lang w:val="es-MX"/>
        </w:rPr>
        <w:t xml:space="preserve"> (LFTAIP)</w:t>
      </w:r>
      <w:r w:rsidRPr="00250E2C">
        <w:rPr>
          <w:rFonts w:ascii="Montserrat" w:hAnsi="Montserrat"/>
          <w:sz w:val="18"/>
          <w:szCs w:val="18"/>
          <w:lang w:val="es-MX"/>
        </w:rPr>
        <w:t>, en relación con los diversos del Procedimiento en materia de Acceso a la información y Transparencia del Servicio de Administración Tributaria, aprobado por el</w:t>
      </w:r>
      <w:r>
        <w:rPr>
          <w:rFonts w:ascii="Montserrat" w:hAnsi="Montserrat"/>
          <w:sz w:val="18"/>
          <w:szCs w:val="18"/>
          <w:lang w:val="es-MX"/>
        </w:rPr>
        <w:t xml:space="preserve"> Comité de Transparencia del </w:t>
      </w:r>
      <w:r w:rsidRPr="006F6AFF">
        <w:rPr>
          <w:rFonts w:ascii="Montserrat" w:hAnsi="Montserrat"/>
          <w:sz w:val="18"/>
          <w:szCs w:val="18"/>
          <w:lang w:val="es-MX"/>
        </w:rPr>
        <w:t>Servicio de Administración Tributaria</w:t>
      </w:r>
      <w:r w:rsidRPr="00250E2C">
        <w:rPr>
          <w:rFonts w:ascii="Montserrat" w:hAnsi="Montserrat"/>
          <w:sz w:val="18"/>
          <w:szCs w:val="18"/>
          <w:lang w:val="es-MX"/>
        </w:rPr>
        <w:t xml:space="preserve"> </w:t>
      </w:r>
      <w:r>
        <w:rPr>
          <w:rFonts w:ascii="Montserrat" w:hAnsi="Montserrat"/>
          <w:sz w:val="18"/>
          <w:szCs w:val="18"/>
          <w:lang w:val="es-MX"/>
        </w:rPr>
        <w:t>(</w:t>
      </w:r>
      <w:r w:rsidRPr="00250E2C">
        <w:rPr>
          <w:rFonts w:ascii="Montserrat" w:hAnsi="Montserrat"/>
          <w:sz w:val="18"/>
          <w:szCs w:val="18"/>
          <w:lang w:val="es-MX"/>
        </w:rPr>
        <w:t>CTSAT</w:t>
      </w:r>
      <w:r>
        <w:rPr>
          <w:rFonts w:ascii="Montserrat" w:hAnsi="Montserrat"/>
          <w:sz w:val="18"/>
          <w:szCs w:val="18"/>
          <w:lang w:val="es-MX"/>
        </w:rPr>
        <w:t>)</w:t>
      </w:r>
      <w:r w:rsidRPr="00250E2C">
        <w:rPr>
          <w:rFonts w:ascii="Montserrat" w:hAnsi="Montserrat"/>
          <w:sz w:val="18"/>
          <w:szCs w:val="18"/>
          <w:lang w:val="es-MX"/>
        </w:rPr>
        <w:t xml:space="preserve">, en Sesión Extraordinaria de 30 de junio de 2021, y vigente a partir del 1° de julio del mismo año, por el que se regula el procedimiento administrativo interno de acceso a la información pública y transparencia, así como el funcionamiento y atribuciones del CTSAT, se convoca a la </w:t>
      </w:r>
      <w:r>
        <w:rPr>
          <w:rFonts w:ascii="Montserrat" w:hAnsi="Montserrat"/>
          <w:b/>
          <w:sz w:val="18"/>
          <w:szCs w:val="18"/>
          <w:lang w:val="es-MX"/>
        </w:rPr>
        <w:t>Quinta</w:t>
      </w:r>
      <w:r w:rsidRPr="00250E2C">
        <w:rPr>
          <w:rFonts w:ascii="Montserrat" w:hAnsi="Montserrat"/>
          <w:b/>
          <w:sz w:val="18"/>
          <w:szCs w:val="18"/>
          <w:lang w:val="es-MX"/>
        </w:rPr>
        <w:t xml:space="preserve"> Sesión Extraordinaria de 2022</w:t>
      </w:r>
      <w:r w:rsidRPr="00250E2C">
        <w:rPr>
          <w:rFonts w:ascii="Montserrat" w:hAnsi="Montserrat"/>
          <w:sz w:val="18"/>
          <w:szCs w:val="18"/>
          <w:lang w:val="es-MX"/>
        </w:rPr>
        <w:t xml:space="preserve">, a </w:t>
      </w:r>
      <w:r w:rsidRPr="00AB014D">
        <w:rPr>
          <w:rFonts w:ascii="Montserrat" w:hAnsi="Montserrat"/>
          <w:sz w:val="18"/>
          <w:szCs w:val="18"/>
          <w:lang w:val="es-MX"/>
        </w:rPr>
        <w:t>celebrarse vía electrónica</w:t>
      </w:r>
      <w:r w:rsidRPr="00250E2C">
        <w:rPr>
          <w:rFonts w:ascii="Montserrat" w:hAnsi="Montserrat"/>
          <w:sz w:val="18"/>
          <w:szCs w:val="18"/>
          <w:lang w:val="es-MX"/>
        </w:rPr>
        <w:t xml:space="preserve"> el </w:t>
      </w:r>
      <w:r>
        <w:rPr>
          <w:rFonts w:ascii="Montserrat" w:hAnsi="Montserrat"/>
          <w:sz w:val="18"/>
          <w:szCs w:val="18"/>
          <w:lang w:val="es-MX"/>
        </w:rPr>
        <w:t>22 de diciembre</w:t>
      </w:r>
      <w:r w:rsidRPr="00250E2C">
        <w:rPr>
          <w:rFonts w:ascii="Montserrat" w:hAnsi="Montserrat"/>
          <w:sz w:val="18"/>
          <w:szCs w:val="18"/>
          <w:lang w:val="es-MX"/>
        </w:rPr>
        <w:t xml:space="preserve"> de</w:t>
      </w:r>
      <w:r>
        <w:rPr>
          <w:rFonts w:ascii="Montserrat" w:hAnsi="Montserrat"/>
          <w:sz w:val="18"/>
          <w:szCs w:val="18"/>
          <w:lang w:val="es-MX"/>
        </w:rPr>
        <w:t xml:space="preserve"> dos mil veintidós</w:t>
      </w:r>
      <w:r w:rsidRPr="00250E2C">
        <w:rPr>
          <w:rFonts w:ascii="Montserrat" w:hAnsi="Montserrat"/>
          <w:bCs/>
          <w:sz w:val="18"/>
          <w:szCs w:val="18"/>
          <w:lang w:val="es-MX"/>
        </w:rPr>
        <w:t>.</w:t>
      </w:r>
    </w:p>
    <w:p w:rsidR="00050121" w:rsidRPr="001F11C4" w:rsidRDefault="00050121" w:rsidP="00050121">
      <w:pPr>
        <w:ind w:right="282"/>
        <w:jc w:val="both"/>
        <w:rPr>
          <w:sz w:val="12"/>
        </w:rPr>
      </w:pPr>
    </w:p>
    <w:p w:rsidR="00050121" w:rsidRPr="00201B08" w:rsidRDefault="00050121" w:rsidP="00050121">
      <w:pPr>
        <w:ind w:right="282"/>
        <w:jc w:val="both"/>
        <w:rPr>
          <w:rFonts w:ascii="Montserrat" w:hAnsi="Montserrat"/>
          <w:sz w:val="18"/>
          <w:szCs w:val="18"/>
        </w:rPr>
      </w:pPr>
      <w:r w:rsidRPr="00201B08">
        <w:rPr>
          <w:rFonts w:ascii="Montserrat" w:hAnsi="Montserrat"/>
          <w:sz w:val="18"/>
          <w:szCs w:val="18"/>
        </w:rPr>
        <w:t xml:space="preserve">Los asuntos a tratar se desahogarán conforme el siguiente: </w:t>
      </w:r>
    </w:p>
    <w:p w:rsidR="00050121" w:rsidRDefault="00050121" w:rsidP="00050121">
      <w:pPr>
        <w:ind w:right="282"/>
        <w:jc w:val="center"/>
        <w:rPr>
          <w:rFonts w:ascii="Montserrat" w:hAnsi="Montserrat"/>
          <w:b/>
          <w:sz w:val="22"/>
          <w:szCs w:val="18"/>
        </w:rPr>
      </w:pPr>
    </w:p>
    <w:p w:rsidR="00050121" w:rsidRPr="00373B9A" w:rsidRDefault="00050121" w:rsidP="00050121">
      <w:pPr>
        <w:ind w:right="282"/>
        <w:jc w:val="center"/>
        <w:rPr>
          <w:rFonts w:ascii="Montserrat" w:hAnsi="Montserrat"/>
          <w:b/>
          <w:sz w:val="22"/>
          <w:szCs w:val="18"/>
        </w:rPr>
      </w:pPr>
      <w:r w:rsidRPr="00373B9A">
        <w:rPr>
          <w:rFonts w:ascii="Montserrat" w:hAnsi="Montserrat"/>
          <w:b/>
          <w:sz w:val="22"/>
          <w:szCs w:val="18"/>
        </w:rPr>
        <w:t>ORDEN DEL DÍA</w:t>
      </w:r>
    </w:p>
    <w:p w:rsidR="00050121" w:rsidRPr="00BE346A" w:rsidRDefault="00050121" w:rsidP="00050121">
      <w:pPr>
        <w:ind w:right="282"/>
        <w:jc w:val="both"/>
        <w:rPr>
          <w:sz w:val="18"/>
        </w:rPr>
      </w:pPr>
    </w:p>
    <w:p w:rsidR="00050121" w:rsidRDefault="00050121" w:rsidP="00050121">
      <w:pPr>
        <w:ind w:right="282"/>
        <w:jc w:val="both"/>
        <w:rPr>
          <w:rFonts w:ascii="Montserrat" w:hAnsi="Montserrat"/>
          <w:b/>
          <w:sz w:val="20"/>
        </w:rPr>
      </w:pPr>
      <w:r w:rsidRPr="00201B08">
        <w:rPr>
          <w:rFonts w:ascii="Montserrat" w:hAnsi="Montserrat"/>
          <w:b/>
          <w:sz w:val="20"/>
        </w:rPr>
        <w:t xml:space="preserve">I. </w:t>
      </w:r>
      <w:r w:rsidRPr="00CD507B">
        <w:rPr>
          <w:rFonts w:ascii="Montserrat" w:hAnsi="Montserrat"/>
          <w:b/>
          <w:sz w:val="20"/>
        </w:rPr>
        <w:t>VERIFICACIÓN DEL QUÓRUM Y APROBACIÓN DEL ORDEN DEL DÍA.</w:t>
      </w:r>
    </w:p>
    <w:p w:rsidR="00050121" w:rsidRDefault="00050121" w:rsidP="00050121">
      <w:pPr>
        <w:spacing w:after="240"/>
        <w:ind w:right="282"/>
        <w:jc w:val="both"/>
        <w:rPr>
          <w:rFonts w:ascii="Montserrat" w:hAnsi="Montserrat"/>
          <w:b/>
          <w:sz w:val="20"/>
        </w:rPr>
      </w:pPr>
    </w:p>
    <w:p w:rsidR="00050121" w:rsidRDefault="00050121" w:rsidP="00050121">
      <w:pPr>
        <w:ind w:right="282"/>
        <w:jc w:val="both"/>
        <w:rPr>
          <w:rFonts w:ascii="Montserrat" w:eastAsia="Calibri" w:hAnsi="Montserrat" w:cs="Times New Roman"/>
          <w:b/>
          <w:bCs/>
          <w:color w:val="262626" w:themeColor="text1" w:themeTint="D9"/>
          <w:sz w:val="20"/>
          <w:szCs w:val="20"/>
          <w:lang w:val="es-MX"/>
        </w:rPr>
      </w:pPr>
      <w:r>
        <w:rPr>
          <w:rFonts w:ascii="Montserrat" w:eastAsia="Calibri" w:hAnsi="Montserrat" w:cs="Times New Roman"/>
          <w:b/>
          <w:bCs/>
          <w:color w:val="262626" w:themeColor="text1" w:themeTint="D9"/>
          <w:sz w:val="20"/>
          <w:szCs w:val="20"/>
          <w:lang w:val="es-MX"/>
        </w:rPr>
        <w:t>II</w:t>
      </w:r>
      <w:r w:rsidRPr="0052170C">
        <w:rPr>
          <w:rFonts w:ascii="Montserrat" w:eastAsia="Calibri" w:hAnsi="Montserrat" w:cs="Times New Roman"/>
          <w:b/>
          <w:bCs/>
          <w:color w:val="262626" w:themeColor="text1" w:themeTint="D9"/>
          <w:sz w:val="20"/>
          <w:szCs w:val="20"/>
          <w:lang w:val="es-MX"/>
        </w:rPr>
        <w:t>.  OBLIGACIONES DE TRANSPARENCIA</w:t>
      </w:r>
    </w:p>
    <w:p w:rsidR="00050121" w:rsidRPr="003F41D8" w:rsidRDefault="00050121" w:rsidP="00050121">
      <w:pPr>
        <w:ind w:right="282"/>
        <w:jc w:val="both"/>
        <w:rPr>
          <w:rFonts w:ascii="Montserrat" w:eastAsia="Calibri" w:hAnsi="Montserrat" w:cs="Times New Roman"/>
          <w:b/>
          <w:bCs/>
          <w:color w:val="262626" w:themeColor="text1" w:themeTint="D9"/>
          <w:sz w:val="12"/>
          <w:szCs w:val="20"/>
          <w:lang w:val="es-MX"/>
        </w:rPr>
      </w:pPr>
    </w:p>
    <w:p w:rsidR="00050121" w:rsidRDefault="00050121" w:rsidP="00050121">
      <w:pPr>
        <w:ind w:left="567" w:right="282"/>
        <w:jc w:val="both"/>
        <w:rPr>
          <w:rFonts w:ascii="Montserrat" w:eastAsia="Calibri" w:hAnsi="Montserrat" w:cs="Times New Roman"/>
          <w:color w:val="262626" w:themeColor="text1" w:themeTint="D9"/>
          <w:sz w:val="18"/>
          <w:szCs w:val="20"/>
          <w:lang w:val="es-MX"/>
        </w:rPr>
      </w:pPr>
      <w:r>
        <w:rPr>
          <w:rFonts w:ascii="Montserrat" w:eastAsia="Calibri" w:hAnsi="Montserrat" w:cs="Times New Roman"/>
          <w:b/>
          <w:color w:val="262626" w:themeColor="text1" w:themeTint="D9"/>
          <w:sz w:val="18"/>
          <w:szCs w:val="20"/>
          <w:lang w:val="es-MX"/>
        </w:rPr>
        <w:t>II</w:t>
      </w:r>
      <w:r w:rsidRPr="0052170C">
        <w:rPr>
          <w:rFonts w:ascii="Montserrat" w:eastAsia="Calibri" w:hAnsi="Montserrat" w:cs="Times New Roman"/>
          <w:b/>
          <w:color w:val="262626" w:themeColor="text1" w:themeTint="D9"/>
          <w:sz w:val="18"/>
          <w:szCs w:val="20"/>
          <w:lang w:val="es-MX"/>
        </w:rPr>
        <w:t xml:space="preserve">.I </w:t>
      </w:r>
      <w:r>
        <w:rPr>
          <w:rFonts w:ascii="Montserrat" w:eastAsia="Calibri" w:hAnsi="Montserrat" w:cs="Times New Roman"/>
          <w:b/>
          <w:color w:val="262626" w:themeColor="text1" w:themeTint="D9"/>
          <w:sz w:val="18"/>
          <w:szCs w:val="20"/>
          <w:lang w:val="es-MX"/>
        </w:rPr>
        <w:t xml:space="preserve">  </w:t>
      </w:r>
      <w:r w:rsidRPr="00D22727">
        <w:rPr>
          <w:rFonts w:ascii="Montserrat" w:eastAsia="Calibri" w:hAnsi="Montserrat" w:cs="Times New Roman"/>
          <w:color w:val="262626" w:themeColor="text1" w:themeTint="D9"/>
          <w:sz w:val="18"/>
          <w:szCs w:val="20"/>
          <w:lang w:val="es-MX"/>
        </w:rPr>
        <w:t xml:space="preserve">Revisión y, en su caso, confirmación de la clasificación </w:t>
      </w:r>
      <w:r>
        <w:rPr>
          <w:rFonts w:ascii="Montserrat" w:eastAsia="Calibri" w:hAnsi="Montserrat" w:cs="Times New Roman"/>
          <w:color w:val="262626" w:themeColor="text1" w:themeTint="D9"/>
          <w:sz w:val="18"/>
          <w:szCs w:val="20"/>
          <w:lang w:val="es-MX"/>
        </w:rPr>
        <w:t xml:space="preserve">total y parcial </w:t>
      </w:r>
      <w:r w:rsidRPr="00D22727">
        <w:rPr>
          <w:rFonts w:ascii="Montserrat" w:eastAsia="Calibri" w:hAnsi="Montserrat" w:cs="Times New Roman"/>
          <w:color w:val="262626" w:themeColor="text1" w:themeTint="D9"/>
          <w:sz w:val="18"/>
          <w:szCs w:val="20"/>
          <w:lang w:val="es-MX"/>
        </w:rPr>
        <w:t>de información</w:t>
      </w:r>
      <w:r>
        <w:rPr>
          <w:rFonts w:ascii="Montserrat" w:eastAsia="Calibri" w:hAnsi="Montserrat" w:cs="Times New Roman"/>
          <w:color w:val="262626" w:themeColor="text1" w:themeTint="D9"/>
          <w:sz w:val="18"/>
          <w:szCs w:val="20"/>
          <w:lang w:val="es-MX"/>
        </w:rPr>
        <w:t>, así como la</w:t>
      </w:r>
      <w:r w:rsidRPr="00D22727">
        <w:rPr>
          <w:rFonts w:ascii="Montserrat" w:eastAsia="Calibri" w:hAnsi="Montserrat" w:cs="Times New Roman"/>
          <w:color w:val="262626" w:themeColor="text1" w:themeTint="D9"/>
          <w:sz w:val="18"/>
          <w:szCs w:val="20"/>
          <w:lang w:val="es-MX"/>
        </w:rPr>
        <w:t xml:space="preserve"> elaboración de versiones públicas, en cumplimiento </w:t>
      </w:r>
      <w:r>
        <w:rPr>
          <w:rFonts w:ascii="Montserrat" w:eastAsia="Calibri" w:hAnsi="Montserrat" w:cs="Times New Roman"/>
          <w:color w:val="262626" w:themeColor="text1" w:themeTint="D9"/>
          <w:sz w:val="18"/>
          <w:szCs w:val="20"/>
          <w:lang w:val="es-MX"/>
        </w:rPr>
        <w:t>a</w:t>
      </w:r>
      <w:r w:rsidRPr="00D22727">
        <w:rPr>
          <w:rFonts w:ascii="Montserrat" w:eastAsia="Calibri" w:hAnsi="Montserrat" w:cs="Times New Roman"/>
          <w:color w:val="262626" w:themeColor="text1" w:themeTint="D9"/>
          <w:sz w:val="18"/>
          <w:szCs w:val="20"/>
          <w:lang w:val="es-MX"/>
        </w:rPr>
        <w:t xml:space="preserve"> las </w:t>
      </w:r>
      <w:r w:rsidRPr="00D22727">
        <w:rPr>
          <w:rFonts w:ascii="Montserrat Regular" w:hAnsi="Montserrat Regular"/>
          <w:sz w:val="18"/>
          <w:szCs w:val="18"/>
          <w:lang w:val="es-MX"/>
        </w:rPr>
        <w:t>Obligaciones de Transparencia</w:t>
      </w:r>
      <w:r>
        <w:rPr>
          <w:rFonts w:ascii="Montserrat Regular" w:hAnsi="Montserrat Regular"/>
          <w:sz w:val="18"/>
          <w:szCs w:val="18"/>
          <w:lang w:val="es-MX"/>
        </w:rPr>
        <w:t xml:space="preserve"> de la fracción </w:t>
      </w:r>
      <w:r w:rsidRPr="006F6AFF">
        <w:rPr>
          <w:rFonts w:ascii="Montserrat" w:eastAsia="Calibri" w:hAnsi="Montserrat" w:cs="Times New Roman"/>
          <w:color w:val="262626" w:themeColor="text1" w:themeTint="D9"/>
          <w:sz w:val="18"/>
          <w:szCs w:val="20"/>
          <w:lang w:val="es-MX"/>
        </w:rPr>
        <w:t>XXXVI “Las resoluciones y laudos que se emitan en procesos o procedimientos seguidos en forma de juicio”</w:t>
      </w:r>
      <w:r>
        <w:rPr>
          <w:rFonts w:ascii="Montserrat" w:eastAsia="Calibri" w:hAnsi="Montserrat" w:cs="Times New Roman"/>
          <w:color w:val="262626" w:themeColor="text1" w:themeTint="D9"/>
          <w:sz w:val="18"/>
          <w:szCs w:val="20"/>
          <w:lang w:val="es-MX"/>
        </w:rPr>
        <w:t xml:space="preserve">, del artículo 70 de la Ley General de Transparencia y Acceso a la Información Pública (LGTAIP), </w:t>
      </w:r>
      <w:r>
        <w:rPr>
          <w:rFonts w:ascii="Montserrat Regular" w:hAnsi="Montserrat Regular"/>
          <w:sz w:val="18"/>
          <w:szCs w:val="18"/>
          <w:lang w:val="es-MX"/>
        </w:rPr>
        <w:t xml:space="preserve">correspondientes </w:t>
      </w:r>
      <w:r>
        <w:rPr>
          <w:rFonts w:ascii="Montserrat" w:eastAsia="Calibri" w:hAnsi="Montserrat" w:cs="Times New Roman"/>
          <w:color w:val="262626" w:themeColor="text1" w:themeTint="D9"/>
          <w:sz w:val="18"/>
          <w:szCs w:val="20"/>
          <w:lang w:val="es-MX"/>
        </w:rPr>
        <w:t>al tercer y cuarto trimestre de 2021</w:t>
      </w:r>
      <w:r>
        <w:rPr>
          <w:rFonts w:ascii="Montserrat Regular" w:hAnsi="Montserrat Regular"/>
          <w:sz w:val="18"/>
          <w:szCs w:val="18"/>
          <w:lang w:val="es-MX"/>
        </w:rPr>
        <w:t xml:space="preserve">, respectivamente, por las unidades administrativas adscritas a la </w:t>
      </w:r>
      <w:r>
        <w:rPr>
          <w:rFonts w:ascii="Montserrat" w:eastAsia="Calibri" w:hAnsi="Montserrat" w:cs="Times New Roman"/>
          <w:color w:val="262626" w:themeColor="text1" w:themeTint="D9"/>
          <w:sz w:val="18"/>
          <w:szCs w:val="20"/>
          <w:lang w:val="es-MX"/>
        </w:rPr>
        <w:t>Administración General Jurídica (AGJ), conforme a los anexos correspondientes.</w:t>
      </w:r>
    </w:p>
    <w:p w:rsidR="00050121" w:rsidRDefault="00050121" w:rsidP="00050121">
      <w:pPr>
        <w:ind w:left="567" w:right="282" w:hanging="425"/>
        <w:jc w:val="both"/>
        <w:rPr>
          <w:rFonts w:ascii="Montserrat Regular" w:hAnsi="Montserrat Regular"/>
          <w:sz w:val="18"/>
          <w:szCs w:val="18"/>
          <w:lang w:val="es-MX"/>
        </w:rPr>
      </w:pPr>
    </w:p>
    <w:p w:rsidR="00050121" w:rsidRDefault="00050121" w:rsidP="00050121">
      <w:pPr>
        <w:ind w:left="567" w:right="282"/>
        <w:jc w:val="both"/>
        <w:rPr>
          <w:rFonts w:ascii="Montserrat" w:eastAsia="Calibri" w:hAnsi="Montserrat" w:cs="Times New Roman"/>
          <w:color w:val="262626" w:themeColor="text1" w:themeTint="D9"/>
          <w:sz w:val="18"/>
          <w:szCs w:val="20"/>
          <w:lang w:val="es-MX"/>
        </w:rPr>
      </w:pPr>
      <w:r w:rsidRPr="00D22727">
        <w:rPr>
          <w:rFonts w:ascii="Montserrat" w:eastAsia="Calibri" w:hAnsi="Montserrat" w:cs="Times New Roman"/>
          <w:color w:val="262626" w:themeColor="text1" w:themeTint="D9"/>
          <w:sz w:val="18"/>
          <w:szCs w:val="20"/>
          <w:lang w:val="es-MX"/>
        </w:rPr>
        <w:t xml:space="preserve">Revisión y, en su caso, confirmación de la clasificación </w:t>
      </w:r>
      <w:r>
        <w:rPr>
          <w:rFonts w:ascii="Montserrat" w:eastAsia="Calibri" w:hAnsi="Montserrat" w:cs="Times New Roman"/>
          <w:color w:val="262626" w:themeColor="text1" w:themeTint="D9"/>
          <w:sz w:val="18"/>
          <w:szCs w:val="20"/>
          <w:lang w:val="es-MX"/>
        </w:rPr>
        <w:t xml:space="preserve">total y parcial </w:t>
      </w:r>
      <w:r w:rsidRPr="00D22727">
        <w:rPr>
          <w:rFonts w:ascii="Montserrat" w:eastAsia="Calibri" w:hAnsi="Montserrat" w:cs="Times New Roman"/>
          <w:color w:val="262626" w:themeColor="text1" w:themeTint="D9"/>
          <w:sz w:val="18"/>
          <w:szCs w:val="20"/>
          <w:lang w:val="es-MX"/>
        </w:rPr>
        <w:t>de información</w:t>
      </w:r>
      <w:r>
        <w:rPr>
          <w:rFonts w:ascii="Montserrat" w:eastAsia="Calibri" w:hAnsi="Montserrat" w:cs="Times New Roman"/>
          <w:color w:val="262626" w:themeColor="text1" w:themeTint="D9"/>
          <w:sz w:val="18"/>
          <w:szCs w:val="20"/>
          <w:lang w:val="es-MX"/>
        </w:rPr>
        <w:t>, así como la</w:t>
      </w:r>
      <w:r w:rsidRPr="00D22727">
        <w:rPr>
          <w:rFonts w:ascii="Montserrat" w:eastAsia="Calibri" w:hAnsi="Montserrat" w:cs="Times New Roman"/>
          <w:color w:val="262626" w:themeColor="text1" w:themeTint="D9"/>
          <w:sz w:val="18"/>
          <w:szCs w:val="20"/>
          <w:lang w:val="es-MX"/>
        </w:rPr>
        <w:t xml:space="preserve"> elaboración de versiones públicas, en cumplimiento </w:t>
      </w:r>
      <w:r>
        <w:rPr>
          <w:rFonts w:ascii="Montserrat" w:eastAsia="Calibri" w:hAnsi="Montserrat" w:cs="Times New Roman"/>
          <w:color w:val="262626" w:themeColor="text1" w:themeTint="D9"/>
          <w:sz w:val="18"/>
          <w:szCs w:val="20"/>
          <w:lang w:val="es-MX"/>
        </w:rPr>
        <w:t>a</w:t>
      </w:r>
      <w:r w:rsidRPr="00D22727">
        <w:rPr>
          <w:rFonts w:ascii="Montserrat" w:eastAsia="Calibri" w:hAnsi="Montserrat" w:cs="Times New Roman"/>
          <w:color w:val="262626" w:themeColor="text1" w:themeTint="D9"/>
          <w:sz w:val="18"/>
          <w:szCs w:val="20"/>
          <w:lang w:val="es-MX"/>
        </w:rPr>
        <w:t xml:space="preserve"> las </w:t>
      </w:r>
      <w:r w:rsidRPr="00D22727">
        <w:rPr>
          <w:rFonts w:ascii="Montserrat Regular" w:hAnsi="Montserrat Regular"/>
          <w:sz w:val="18"/>
          <w:szCs w:val="18"/>
          <w:lang w:val="es-MX"/>
        </w:rPr>
        <w:t>Obligaciones de Transparencia</w:t>
      </w:r>
      <w:r>
        <w:rPr>
          <w:rFonts w:ascii="Montserrat Regular" w:hAnsi="Montserrat Regular"/>
          <w:sz w:val="18"/>
          <w:szCs w:val="18"/>
          <w:lang w:val="es-MX"/>
        </w:rPr>
        <w:t xml:space="preserve"> de las fracciones</w:t>
      </w:r>
      <w:r w:rsidRPr="00290504">
        <w:rPr>
          <w:rFonts w:ascii="Montserrat Regular" w:hAnsi="Montserrat Regular"/>
          <w:sz w:val="18"/>
          <w:szCs w:val="18"/>
          <w:lang w:val="es-MX"/>
        </w:rPr>
        <w:t xml:space="preserve"> XXVII “Las concesiones, contratos, convenios, permisos, licencias o autorizaciones otorgados, especificando los titulares de aquéllos, debiendo publicarse su objeto, nombre o razón social del titular, vigencia, tipo, términos, condiciones, monto y modificaciones, así como si el procedimiento involucra el aprovechamiento de bienes, servicios y/o recursos públicos”; y XXVIII “La información sobre los resultados sobre procedimientos de adjudicación directa, invitación restringida y licitación de cualquier naturaleza, incluyendo la Versión Pública del Expediente respectivo y de los contratos celebrados</w:t>
      </w:r>
      <w:r>
        <w:rPr>
          <w:rFonts w:ascii="Montserrat Regular" w:hAnsi="Montserrat Regular"/>
          <w:sz w:val="18"/>
          <w:szCs w:val="18"/>
          <w:lang w:val="es-MX"/>
        </w:rPr>
        <w:t xml:space="preserve">”, </w:t>
      </w:r>
      <w:r>
        <w:rPr>
          <w:rFonts w:ascii="Montserrat" w:eastAsia="Calibri" w:hAnsi="Montserrat" w:cs="Times New Roman"/>
          <w:color w:val="262626" w:themeColor="text1" w:themeTint="D9"/>
          <w:sz w:val="18"/>
          <w:szCs w:val="20"/>
          <w:lang w:val="es-MX"/>
        </w:rPr>
        <w:t>del artículo 70 de la LGTAIP</w:t>
      </w:r>
      <w:r>
        <w:rPr>
          <w:rFonts w:ascii="Montserrat Regular" w:hAnsi="Montserrat Regular"/>
          <w:sz w:val="18"/>
          <w:szCs w:val="18"/>
          <w:lang w:val="es-MX"/>
        </w:rPr>
        <w:t xml:space="preserve">, correspondientes al primer trimestre de 2022,  por las unidades administrativas adscritas a la </w:t>
      </w:r>
      <w:r w:rsidRPr="00420551">
        <w:rPr>
          <w:rFonts w:ascii="Montserrat Regular" w:hAnsi="Montserrat Regular"/>
          <w:sz w:val="18"/>
          <w:szCs w:val="18"/>
          <w:lang w:val="es-MX"/>
        </w:rPr>
        <w:t>Administración General de Recursos y Servicios</w:t>
      </w:r>
      <w:r>
        <w:rPr>
          <w:rFonts w:ascii="Montserrat Regular" w:hAnsi="Montserrat Regular"/>
          <w:sz w:val="18"/>
          <w:szCs w:val="18"/>
          <w:lang w:val="es-MX"/>
        </w:rPr>
        <w:t xml:space="preserve"> (AGRS), </w:t>
      </w:r>
      <w:r>
        <w:rPr>
          <w:rFonts w:ascii="Montserrat" w:eastAsia="Calibri" w:hAnsi="Montserrat" w:cs="Times New Roman"/>
          <w:color w:val="262626" w:themeColor="text1" w:themeTint="D9"/>
          <w:sz w:val="18"/>
          <w:szCs w:val="20"/>
          <w:lang w:val="es-MX"/>
        </w:rPr>
        <w:t>conforme a los anexos correspondientes.</w:t>
      </w:r>
    </w:p>
    <w:p w:rsidR="00050121" w:rsidRDefault="00050121" w:rsidP="00050121">
      <w:pPr>
        <w:ind w:left="567" w:right="282" w:hanging="425"/>
        <w:jc w:val="both"/>
        <w:rPr>
          <w:rFonts w:ascii="Montserrat Regular" w:hAnsi="Montserrat Regular"/>
          <w:sz w:val="18"/>
          <w:szCs w:val="18"/>
          <w:lang w:val="es-MX"/>
        </w:rPr>
      </w:pPr>
    </w:p>
    <w:p w:rsidR="00050121" w:rsidRDefault="00050121" w:rsidP="00050121">
      <w:pPr>
        <w:ind w:left="567" w:right="282"/>
        <w:jc w:val="both"/>
        <w:rPr>
          <w:rFonts w:ascii="Montserrat" w:eastAsia="Calibri" w:hAnsi="Montserrat" w:cs="Times New Roman"/>
          <w:color w:val="262626" w:themeColor="text1" w:themeTint="D9"/>
          <w:sz w:val="18"/>
          <w:szCs w:val="20"/>
          <w:lang w:val="es-MX"/>
        </w:rPr>
      </w:pPr>
      <w:r w:rsidRPr="00D22727">
        <w:rPr>
          <w:rFonts w:ascii="Montserrat" w:eastAsia="Calibri" w:hAnsi="Montserrat" w:cs="Times New Roman"/>
          <w:color w:val="262626" w:themeColor="text1" w:themeTint="D9"/>
          <w:sz w:val="18"/>
          <w:szCs w:val="20"/>
          <w:lang w:val="es-MX"/>
        </w:rPr>
        <w:t xml:space="preserve">Revisión y, en su caso, confirmación de la clasificación </w:t>
      </w:r>
      <w:r>
        <w:rPr>
          <w:rFonts w:ascii="Montserrat" w:eastAsia="Calibri" w:hAnsi="Montserrat" w:cs="Times New Roman"/>
          <w:color w:val="262626" w:themeColor="text1" w:themeTint="D9"/>
          <w:sz w:val="18"/>
          <w:szCs w:val="20"/>
          <w:lang w:val="es-MX"/>
        </w:rPr>
        <w:t xml:space="preserve">total y parcial </w:t>
      </w:r>
      <w:r w:rsidRPr="00D22727">
        <w:rPr>
          <w:rFonts w:ascii="Montserrat" w:eastAsia="Calibri" w:hAnsi="Montserrat" w:cs="Times New Roman"/>
          <w:color w:val="262626" w:themeColor="text1" w:themeTint="D9"/>
          <w:sz w:val="18"/>
          <w:szCs w:val="20"/>
          <w:lang w:val="es-MX"/>
        </w:rPr>
        <w:t>de información</w:t>
      </w:r>
      <w:r>
        <w:rPr>
          <w:rFonts w:ascii="Montserrat" w:eastAsia="Calibri" w:hAnsi="Montserrat" w:cs="Times New Roman"/>
          <w:color w:val="262626" w:themeColor="text1" w:themeTint="D9"/>
          <w:sz w:val="18"/>
          <w:szCs w:val="20"/>
          <w:lang w:val="es-MX"/>
        </w:rPr>
        <w:t>, así como la</w:t>
      </w:r>
      <w:r w:rsidRPr="00D22727">
        <w:rPr>
          <w:rFonts w:ascii="Montserrat" w:eastAsia="Calibri" w:hAnsi="Montserrat" w:cs="Times New Roman"/>
          <w:color w:val="262626" w:themeColor="text1" w:themeTint="D9"/>
          <w:sz w:val="18"/>
          <w:szCs w:val="20"/>
          <w:lang w:val="es-MX"/>
        </w:rPr>
        <w:t xml:space="preserve"> elaboración de versiones públicas, en cumplimiento </w:t>
      </w:r>
      <w:r>
        <w:rPr>
          <w:rFonts w:ascii="Montserrat" w:eastAsia="Calibri" w:hAnsi="Montserrat" w:cs="Times New Roman"/>
          <w:color w:val="262626" w:themeColor="text1" w:themeTint="D9"/>
          <w:sz w:val="18"/>
          <w:szCs w:val="20"/>
          <w:lang w:val="es-MX"/>
        </w:rPr>
        <w:t>a</w:t>
      </w:r>
      <w:r w:rsidRPr="00D22727">
        <w:rPr>
          <w:rFonts w:ascii="Montserrat" w:eastAsia="Calibri" w:hAnsi="Montserrat" w:cs="Times New Roman"/>
          <w:color w:val="262626" w:themeColor="text1" w:themeTint="D9"/>
          <w:sz w:val="18"/>
          <w:szCs w:val="20"/>
          <w:lang w:val="es-MX"/>
        </w:rPr>
        <w:t xml:space="preserve"> las </w:t>
      </w:r>
      <w:r w:rsidRPr="00CD68E8">
        <w:rPr>
          <w:rFonts w:ascii="Montserrat" w:eastAsia="Calibri" w:hAnsi="Montserrat" w:cs="Times New Roman"/>
          <w:color w:val="262626" w:themeColor="text1" w:themeTint="D9"/>
          <w:sz w:val="18"/>
          <w:szCs w:val="20"/>
          <w:lang w:val="es-MX"/>
        </w:rPr>
        <w:t xml:space="preserve">Obligaciones de Transparencia de las fracciones II “Estructura orgánica completa, en un formato que permita vincular cada parte de la estructura, las atribuciones y responsabilidades que le corresponden a cada servidor público, prestador de servicios profesionales o miembro de los sujetos obligados de conformidad con las disposiciones aplicables”; VII “El directorio de todos los servidores públicos, a partir del nivel de jefe de </w:t>
      </w:r>
      <w:r w:rsidRPr="00071F30">
        <w:rPr>
          <w:rFonts w:ascii="Montserrat" w:eastAsia="Calibri" w:hAnsi="Montserrat" w:cs="Times New Roman"/>
          <w:color w:val="262626" w:themeColor="text1" w:themeTint="D9"/>
          <w:sz w:val="18"/>
          <w:szCs w:val="20"/>
          <w:lang w:val="es-MX"/>
        </w:rPr>
        <w:t>departamento o su equivalente, o de menor nivel, cuando se brinde atención al público; manejen o apliquen recursos públicos; realicen actos de autoridad, o presten servicios profesionales bajo el régimen de confianza u honorarios y personal de base”; VIII “La remuneración bruta y neta</w:t>
      </w:r>
      <w:r w:rsidRPr="00CD68E8">
        <w:rPr>
          <w:rFonts w:ascii="Montserrat" w:eastAsia="Calibri" w:hAnsi="Montserrat" w:cs="Times New Roman"/>
          <w:color w:val="262626" w:themeColor="text1" w:themeTint="D9"/>
          <w:sz w:val="18"/>
          <w:szCs w:val="20"/>
          <w:lang w:val="es-MX"/>
        </w:rPr>
        <w:t xml:space="preserve"> de todos los Servidores Públicos de base o de confianza, de todas las percepciones, incluyendo sueldos, prestaciones, gratificaciones, primas, comisiones, dietas, bonos, estímulos, ingresos y sistemas de compensación, señalando la periodicidad de dicha remuneración”; IX “Los gastos de representación y viáticos, así como el objeto e informe de comisión correspondiente”; XI “Las contrataciones de servicios profesionales por honorarios, señalando los nombres de los prestadores de servicios, los servicios contratados, el monto de los honorarios y el periodo de contratación”; XVII “La información curricular desde el nivel de jefe de departamento o equivalente hasta el titular del sujeto obligado, así como, en su caso, las sanciones administrativas de que haya sido objeto”; XXVII “Las concesiones, contratos, convenios, permisos, </w:t>
      </w:r>
      <w:r w:rsidRPr="00CD68E8">
        <w:rPr>
          <w:rFonts w:ascii="Montserrat" w:eastAsia="Calibri" w:hAnsi="Montserrat" w:cs="Times New Roman"/>
          <w:color w:val="262626" w:themeColor="text1" w:themeTint="D9"/>
          <w:sz w:val="18"/>
          <w:szCs w:val="20"/>
          <w:lang w:val="es-MX"/>
        </w:rPr>
        <w:lastRenderedPageBreak/>
        <w:t xml:space="preserve">licencias o autorizaciones otorgados, especificando los titulares de aquéllos, debiendo publicarse su objeto, nombre o razón social del titular, vigencia, tipo, términos, condiciones, monto y modificaciones, así como si el procedimiento involucra el aprovechamiento de bienes, servicios y/o recursos públicos”; XXVIII “La información sobre los resultados sobre procedimientos de adjudicación directa, invitación restringida y licitación de cualquier naturaleza, incluyendo la Versión Pública del Expediente respectivo y de los contratos celebrados”; y XXXVI “Las resoluciones y laudos que se emitan en procesos o procedimientos seguidos en forma de juicio”, </w:t>
      </w:r>
      <w:r>
        <w:rPr>
          <w:rFonts w:ascii="Montserrat" w:eastAsia="Calibri" w:hAnsi="Montserrat" w:cs="Times New Roman"/>
          <w:color w:val="262626" w:themeColor="text1" w:themeTint="D9"/>
          <w:sz w:val="18"/>
          <w:szCs w:val="20"/>
          <w:lang w:val="es-MX"/>
        </w:rPr>
        <w:t>del artículo 70 de la LGTAIP</w:t>
      </w:r>
      <w:r w:rsidRPr="00CD68E8">
        <w:rPr>
          <w:rFonts w:ascii="Montserrat" w:eastAsia="Calibri" w:hAnsi="Montserrat" w:cs="Times New Roman"/>
          <w:color w:val="262626" w:themeColor="text1" w:themeTint="D9"/>
          <w:sz w:val="18"/>
          <w:szCs w:val="20"/>
          <w:lang w:val="es-MX"/>
        </w:rPr>
        <w:t xml:space="preserve">, correspondientes al </w:t>
      </w:r>
      <w:r w:rsidRPr="00071F30">
        <w:rPr>
          <w:rFonts w:ascii="Montserrat" w:eastAsia="Calibri" w:hAnsi="Montserrat" w:cs="Times New Roman"/>
          <w:sz w:val="18"/>
          <w:szCs w:val="20"/>
          <w:lang w:val="es-MX"/>
        </w:rPr>
        <w:t xml:space="preserve">segundo trimestre de 2022,  por las unidades </w:t>
      </w:r>
      <w:r w:rsidRPr="00CD68E8">
        <w:rPr>
          <w:rFonts w:ascii="Montserrat" w:eastAsia="Calibri" w:hAnsi="Montserrat" w:cs="Times New Roman"/>
          <w:color w:val="262626" w:themeColor="text1" w:themeTint="D9"/>
          <w:sz w:val="18"/>
          <w:szCs w:val="20"/>
          <w:lang w:val="es-MX"/>
        </w:rPr>
        <w:t>administrativas adscritas a la AGRS, la AGJ, la Administración General de Hidrocarburos, la Administración General de Grandes Contribuyentes</w:t>
      </w:r>
      <w:r>
        <w:rPr>
          <w:rFonts w:ascii="Montserrat" w:eastAsia="Calibri" w:hAnsi="Montserrat" w:cs="Times New Roman"/>
          <w:color w:val="262626" w:themeColor="text1" w:themeTint="D9"/>
          <w:sz w:val="18"/>
          <w:szCs w:val="20"/>
          <w:lang w:val="es-MX"/>
        </w:rPr>
        <w:t xml:space="preserve"> (AGGC)</w:t>
      </w:r>
      <w:r w:rsidRPr="00CD68E8">
        <w:rPr>
          <w:rFonts w:ascii="Montserrat" w:eastAsia="Calibri" w:hAnsi="Montserrat" w:cs="Times New Roman"/>
          <w:color w:val="262626" w:themeColor="text1" w:themeTint="D9"/>
          <w:sz w:val="18"/>
          <w:szCs w:val="20"/>
          <w:lang w:val="es-MX"/>
        </w:rPr>
        <w:t>, la Administración General de Evaluación</w:t>
      </w:r>
      <w:r>
        <w:rPr>
          <w:rFonts w:ascii="Montserrat" w:eastAsia="Calibri" w:hAnsi="Montserrat" w:cs="Times New Roman"/>
          <w:color w:val="262626" w:themeColor="text1" w:themeTint="D9"/>
          <w:sz w:val="18"/>
          <w:szCs w:val="20"/>
          <w:lang w:val="es-MX"/>
        </w:rPr>
        <w:t xml:space="preserve"> (AGE)</w:t>
      </w:r>
      <w:r w:rsidRPr="00CD68E8">
        <w:rPr>
          <w:rFonts w:ascii="Montserrat" w:eastAsia="Calibri" w:hAnsi="Montserrat" w:cs="Times New Roman"/>
          <w:color w:val="262626" w:themeColor="text1" w:themeTint="D9"/>
          <w:sz w:val="18"/>
          <w:szCs w:val="20"/>
          <w:lang w:val="es-MX"/>
        </w:rPr>
        <w:t xml:space="preserve"> y la Administración General de Comunicaciones y Tecnologías de la Información</w:t>
      </w:r>
      <w:r>
        <w:rPr>
          <w:rFonts w:ascii="Montserrat" w:eastAsia="Calibri" w:hAnsi="Montserrat" w:cs="Times New Roman"/>
          <w:color w:val="262626" w:themeColor="text1" w:themeTint="D9"/>
          <w:sz w:val="18"/>
          <w:szCs w:val="20"/>
          <w:lang w:val="es-MX"/>
        </w:rPr>
        <w:t xml:space="preserve"> (AGCTI), conforme a los anexos correspondientes.</w:t>
      </w:r>
    </w:p>
    <w:p w:rsidR="00050121" w:rsidRDefault="00050121" w:rsidP="00050121">
      <w:pPr>
        <w:spacing w:after="240"/>
        <w:ind w:right="282"/>
        <w:jc w:val="both"/>
        <w:rPr>
          <w:rFonts w:ascii="Montserrat" w:eastAsia="Calibri" w:hAnsi="Montserrat" w:cs="Times New Roman"/>
          <w:color w:val="262626" w:themeColor="text1" w:themeTint="D9"/>
          <w:sz w:val="18"/>
          <w:szCs w:val="20"/>
          <w:lang w:val="es-MX"/>
        </w:rPr>
      </w:pPr>
    </w:p>
    <w:bookmarkEnd w:id="0"/>
    <w:p w:rsidR="00114B95" w:rsidRPr="00050121" w:rsidRDefault="00114B95" w:rsidP="00050121"/>
    <w:sectPr w:rsidR="00114B95" w:rsidRPr="00050121" w:rsidSect="00EA2CAA">
      <w:headerReference w:type="default" r:id="rId7"/>
      <w:footerReference w:type="default" r:id="rId8"/>
      <w:pgSz w:w="12242" w:h="15842"/>
      <w:pgMar w:top="1418" w:right="987" w:bottom="1701" w:left="1134" w:header="850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6505" w:rsidRDefault="00A46505">
      <w:r>
        <w:separator/>
      </w:r>
    </w:p>
  </w:endnote>
  <w:endnote w:type="continuationSeparator" w:id="0">
    <w:p w:rsidR="00A46505" w:rsidRDefault="00A46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Regular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ExtraBold">
    <w:panose1 w:val="00000900000000000000"/>
    <w:charset w:val="00"/>
    <w:family w:val="auto"/>
    <w:pitch w:val="variable"/>
    <w:sig w:usb0="2000020F" w:usb1="00000003" w:usb2="00000000" w:usb3="00000000" w:csb0="00000197" w:csb1="00000000"/>
  </w:font>
  <w:font w:name="Montserrat SemiBold"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0114"/>
    </w:tblGrid>
    <w:tr w:rsidR="00060E08" w:rsidTr="00B74157">
      <w:tc>
        <w:tcPr>
          <w:tcW w:w="10114" w:type="dxa"/>
        </w:tcPr>
        <w:p w:rsidR="00A449DE" w:rsidRPr="00F75C13" w:rsidRDefault="00A449DE" w:rsidP="00A449DE">
          <w:pPr>
            <w:pStyle w:val="Piedepgina"/>
            <w:jc w:val="both"/>
            <w:rPr>
              <w:rFonts w:ascii="Montserrat SemiBold" w:hAnsi="Montserrat SemiBold"/>
              <w:color w:val="BC9500"/>
              <w:sz w:val="14"/>
              <w:szCs w:val="14"/>
            </w:rPr>
          </w:pPr>
          <w:r w:rsidRPr="00D25420">
            <w:rPr>
              <w:rFonts w:ascii="Montserrat SemiBold" w:hAnsi="Montserrat SemiBold"/>
              <w:color w:val="BC9500"/>
              <w:sz w:val="14"/>
              <w:szCs w:val="14"/>
            </w:rPr>
            <w:t xml:space="preserve">Av. Hidalgo No. 77, </w:t>
          </w:r>
          <w:r>
            <w:rPr>
              <w:rFonts w:ascii="Montserrat SemiBold" w:hAnsi="Montserrat SemiBold"/>
              <w:color w:val="BC9500"/>
              <w:sz w:val="14"/>
              <w:szCs w:val="14"/>
            </w:rPr>
            <w:t xml:space="preserve">Colonia Guerrero, </w:t>
          </w:r>
          <w:r w:rsidRPr="00D25420">
            <w:rPr>
              <w:rFonts w:ascii="Montserrat SemiBold" w:hAnsi="Montserrat SemiBold"/>
              <w:color w:val="BC9500"/>
              <w:sz w:val="14"/>
              <w:szCs w:val="14"/>
            </w:rPr>
            <w:t>C.P. 06300, Alcaldía Cuauhtémoc, Ciudad de México</w:t>
          </w:r>
          <w:r w:rsidRPr="00F75C13">
            <w:rPr>
              <w:rFonts w:ascii="Montserrat SemiBold" w:hAnsi="Montserrat SemiBold"/>
              <w:color w:val="BC9500"/>
              <w:sz w:val="14"/>
              <w:szCs w:val="14"/>
            </w:rPr>
            <w:t xml:space="preserve">. </w:t>
          </w:r>
        </w:p>
        <w:p w:rsidR="00A449DE" w:rsidRPr="00F75C13" w:rsidRDefault="00A449DE" w:rsidP="00A449DE">
          <w:pPr>
            <w:pStyle w:val="Piedepgina"/>
            <w:jc w:val="both"/>
            <w:rPr>
              <w:rFonts w:ascii="Montserrat SemiBold" w:hAnsi="Montserrat SemiBold"/>
              <w:color w:val="BC9500"/>
              <w:sz w:val="14"/>
              <w:szCs w:val="14"/>
            </w:rPr>
          </w:pPr>
          <w:proofErr w:type="spellStart"/>
          <w:r>
            <w:rPr>
              <w:rFonts w:ascii="Montserrat SemiBold" w:hAnsi="Montserrat SemiBold"/>
              <w:color w:val="BC9500"/>
              <w:sz w:val="14"/>
              <w:szCs w:val="14"/>
            </w:rPr>
            <w:t>MarcaSAT</w:t>
          </w:r>
          <w:proofErr w:type="spellEnd"/>
          <w:r>
            <w:rPr>
              <w:rFonts w:ascii="Montserrat SemiBold" w:hAnsi="Montserrat SemiBold"/>
              <w:color w:val="BC9500"/>
              <w:sz w:val="14"/>
              <w:szCs w:val="14"/>
            </w:rPr>
            <w:t xml:space="preserve"> 55 627</w:t>
          </w:r>
          <w:r w:rsidRPr="00F75C13">
            <w:rPr>
              <w:rFonts w:ascii="Montserrat SemiBold" w:hAnsi="Montserrat SemiBold"/>
              <w:color w:val="BC9500"/>
              <w:sz w:val="14"/>
              <w:szCs w:val="14"/>
            </w:rPr>
            <w:t>2</w:t>
          </w:r>
          <w:r>
            <w:rPr>
              <w:rFonts w:ascii="Montserrat SemiBold" w:hAnsi="Montserrat SemiBold"/>
              <w:color w:val="BC9500"/>
              <w:sz w:val="14"/>
              <w:szCs w:val="14"/>
            </w:rPr>
            <w:t xml:space="preserve"> 2</w:t>
          </w:r>
          <w:r w:rsidRPr="00F75C13">
            <w:rPr>
              <w:rFonts w:ascii="Montserrat SemiBold" w:hAnsi="Montserrat SemiBold"/>
              <w:color w:val="BC9500"/>
              <w:sz w:val="14"/>
              <w:szCs w:val="14"/>
            </w:rPr>
            <w:t xml:space="preserve">728 </w:t>
          </w:r>
          <w:r>
            <w:rPr>
              <w:rFonts w:ascii="Montserrat SemiBold" w:hAnsi="Montserrat SemiBold"/>
              <w:color w:val="BC9500"/>
              <w:sz w:val="14"/>
              <w:szCs w:val="14"/>
            </w:rPr>
            <w:t>sat.gob.mx</w:t>
          </w:r>
        </w:p>
        <w:p w:rsidR="00060E08" w:rsidRDefault="00060E08" w:rsidP="00060E08">
          <w:pPr>
            <w:pStyle w:val="Piedepgina"/>
            <w:jc w:val="both"/>
            <w:rPr>
              <w:rFonts w:ascii="Montserrat SemiBold" w:hAnsi="Montserrat SemiBold"/>
              <w:color w:val="BC9500"/>
              <w:sz w:val="14"/>
              <w:szCs w:val="14"/>
            </w:rPr>
          </w:pPr>
          <w:r>
            <w:rPr>
              <w:rFonts w:ascii="Montserrat SemiBold" w:hAnsi="Montserrat SemiBold"/>
              <w:noProof/>
              <w:color w:val="BC9500"/>
              <w:sz w:val="14"/>
              <w:szCs w:val="14"/>
              <w:lang w:val="en-US"/>
            </w:rPr>
            <w:drawing>
              <wp:anchor distT="0" distB="0" distL="114300" distR="114300" simplePos="0" relativeHeight="251660288" behindDoc="0" locked="0" layoutInCell="1" allowOverlap="1" wp14:anchorId="122ABBCE" wp14:editId="0C7379D3">
                <wp:simplePos x="0" y="0"/>
                <wp:positionH relativeFrom="column">
                  <wp:posOffset>4883150</wp:posOffset>
                </wp:positionH>
                <wp:positionV relativeFrom="paragraph">
                  <wp:posOffset>-252730</wp:posOffset>
                </wp:positionV>
                <wp:extent cx="1517650" cy="725170"/>
                <wp:effectExtent l="0" t="0" r="6350" b="11430"/>
                <wp:wrapNone/>
                <wp:docPr id="4" name="Imagen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FLORES_membreatda_carta_esquema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17650" cy="725170"/>
                        </a:xfrm>
                        <a:prstGeom prst="rect">
                          <a:avLst/>
                        </a:prstGeom>
                        <a:extLst>
                          <a:ext uri="{FAA26D3D-D897-4be2-8F04-BA451C77F1D7}">
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060E08" w:rsidTr="00B74157">
      <w:tc>
        <w:tcPr>
          <w:tcW w:w="10114" w:type="dxa"/>
        </w:tcPr>
        <w:p w:rsidR="00060E08" w:rsidRDefault="00060E08" w:rsidP="00060E08">
          <w:pPr>
            <w:pStyle w:val="Piedepgina"/>
            <w:jc w:val="both"/>
            <w:rPr>
              <w:rFonts w:ascii="Montserrat SemiBold" w:hAnsi="Montserrat SemiBold"/>
              <w:color w:val="BC9500"/>
              <w:sz w:val="14"/>
              <w:szCs w:val="14"/>
            </w:rPr>
          </w:pPr>
          <w:r>
            <w:rPr>
              <w:rFonts w:ascii="Montserrat SemiBold" w:hAnsi="Montserrat SemiBold"/>
              <w:noProof/>
              <w:color w:val="BC9500"/>
              <w:sz w:val="14"/>
              <w:szCs w:val="14"/>
              <w:lang w:val="en-US"/>
            </w:rPr>
            <w:drawing>
              <wp:anchor distT="0" distB="0" distL="114300" distR="114300" simplePos="0" relativeHeight="251659264" behindDoc="1" locked="0" layoutInCell="1" allowOverlap="1" wp14:anchorId="451538AB" wp14:editId="5A2BC79E">
                <wp:simplePos x="0" y="0"/>
                <wp:positionH relativeFrom="column">
                  <wp:align>left</wp:align>
                </wp:positionH>
                <wp:positionV relativeFrom="margin">
                  <wp:align>bottom</wp:align>
                </wp:positionV>
                <wp:extent cx="6101933" cy="206946"/>
                <wp:effectExtent l="0" t="0" r="0" b="0"/>
                <wp:wrapNone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LUMAJE_membreatda_carta_esquema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01933" cy="206355"/>
                        </a:xfrm>
                        <a:prstGeom prst="rect">
                          <a:avLst/>
                        </a:prstGeom>
                        <a:extLst>
                          <a:ext uri="{FAA26D3D-D897-4be2-8F04-BA451C77F1D7}">
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036507" w:rsidRPr="00060E08" w:rsidRDefault="00A46505" w:rsidP="00060E0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6505" w:rsidRDefault="00A46505">
      <w:r>
        <w:separator/>
      </w:r>
    </w:p>
  </w:footnote>
  <w:footnote w:type="continuationSeparator" w:id="0">
    <w:p w:rsidR="00A46505" w:rsidRDefault="00A465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1049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071"/>
      <w:gridCol w:w="3419"/>
    </w:tblGrid>
    <w:tr w:rsidR="0036343F" w:rsidTr="0036343F">
      <w:trPr>
        <w:jc w:val="center"/>
      </w:trPr>
      <w:tc>
        <w:tcPr>
          <w:tcW w:w="5920" w:type="dxa"/>
        </w:tcPr>
        <w:p w:rsidR="0036343F" w:rsidRDefault="00820C27" w:rsidP="00FA660E">
          <w:pPr>
            <w:pStyle w:val="Encabezado"/>
          </w:pPr>
          <w:r>
            <w:rPr>
              <w:noProof/>
              <w:lang w:val="en-US"/>
            </w:rPr>
            <w:drawing>
              <wp:inline distT="0" distB="0" distL="0" distR="0" wp14:anchorId="6D06485D" wp14:editId="251317D7">
                <wp:extent cx="4352925" cy="478762"/>
                <wp:effectExtent l="0" t="0" r="0" b="0"/>
                <wp:docPr id="5" name="Imagen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hacienda, 25 sin slogan-01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446073" cy="48900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41" w:type="dxa"/>
        </w:tcPr>
        <w:p w:rsidR="00050121" w:rsidRPr="00FB0223" w:rsidRDefault="00050121" w:rsidP="00050121">
          <w:pPr>
            <w:jc w:val="right"/>
            <w:rPr>
              <w:rFonts w:ascii="Montserrat ExtraBold" w:eastAsia="Calibri" w:hAnsi="Montserrat ExtraBold" w:cs="Times New Roman"/>
              <w:b/>
              <w:sz w:val="16"/>
              <w:szCs w:val="16"/>
            </w:rPr>
          </w:pPr>
          <w:r w:rsidRPr="00FB0223">
            <w:rPr>
              <w:rFonts w:ascii="Montserrat ExtraBold" w:eastAsia="Calibri" w:hAnsi="Montserrat ExtraBold" w:cs="Times New Roman"/>
              <w:b/>
              <w:sz w:val="16"/>
              <w:szCs w:val="16"/>
            </w:rPr>
            <w:t>COMITÉ DE TRANSPARENCIA</w:t>
          </w:r>
          <w:r w:rsidRPr="00FB0223">
            <w:rPr>
              <w:rFonts w:ascii="Montserrat ExtraBold" w:hAnsi="Montserrat ExtraBold"/>
              <w:sz w:val="16"/>
              <w:szCs w:val="16"/>
            </w:rPr>
            <w:t xml:space="preserve"> DE</w:t>
          </w:r>
          <w:r>
            <w:rPr>
              <w:rFonts w:ascii="Montserrat ExtraBold" w:hAnsi="Montserrat ExtraBold"/>
              <w:sz w:val="16"/>
              <w:szCs w:val="16"/>
            </w:rPr>
            <w:t>L</w:t>
          </w:r>
          <w:r w:rsidRPr="00FB0223">
            <w:rPr>
              <w:rFonts w:ascii="Montserrat ExtraBold" w:hAnsi="Montserrat ExtraBold"/>
              <w:sz w:val="16"/>
              <w:szCs w:val="16"/>
            </w:rPr>
            <w:t xml:space="preserve"> SERVICIO DE ADMINISTRACIÓN TRIBUTARIA</w:t>
          </w:r>
        </w:p>
        <w:p w:rsidR="0036343F" w:rsidRPr="00731A76" w:rsidRDefault="00050121" w:rsidP="00050121">
          <w:pPr>
            <w:ind w:left="-29"/>
            <w:jc w:val="right"/>
            <w:rPr>
              <w:rFonts w:ascii="Montserrat ExtraBold" w:eastAsia="Calibri" w:hAnsi="Montserrat ExtraBold" w:cs="Times New Roman"/>
              <w:b/>
              <w:sz w:val="16"/>
              <w:szCs w:val="16"/>
            </w:rPr>
          </w:pPr>
          <w:r>
            <w:rPr>
              <w:rFonts w:ascii="Montserrat ExtraBold" w:hAnsi="Montserrat ExtraBold"/>
              <w:sz w:val="14"/>
              <w:szCs w:val="16"/>
            </w:rPr>
            <w:t>Quinta</w:t>
          </w:r>
          <w:r w:rsidRPr="00FB0223">
            <w:rPr>
              <w:rFonts w:ascii="Montserrat ExtraBold" w:hAnsi="Montserrat ExtraBold"/>
              <w:sz w:val="14"/>
              <w:szCs w:val="16"/>
            </w:rPr>
            <w:t xml:space="preserve"> Sesión Extraordinaria de 2022</w:t>
          </w:r>
        </w:p>
      </w:tc>
    </w:tr>
  </w:tbl>
  <w:p w:rsidR="00FA660E" w:rsidRPr="00FA660E" w:rsidRDefault="00A46505" w:rsidP="00FA660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37DF3"/>
    <w:multiLevelType w:val="hybridMultilevel"/>
    <w:tmpl w:val="059C731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FE22B1"/>
    <w:multiLevelType w:val="multilevel"/>
    <w:tmpl w:val="4DECA98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 w:val="0"/>
      </w:rPr>
    </w:lvl>
  </w:abstractNum>
  <w:abstractNum w:abstractNumId="2" w15:restartNumberingAfterBreak="0">
    <w:nsid w:val="12021079"/>
    <w:multiLevelType w:val="multilevel"/>
    <w:tmpl w:val="905ED9C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 w:val="0"/>
      </w:rPr>
    </w:lvl>
  </w:abstractNum>
  <w:abstractNum w:abstractNumId="3" w15:restartNumberingAfterBreak="0">
    <w:nsid w:val="36A33E7D"/>
    <w:multiLevelType w:val="hybridMultilevel"/>
    <w:tmpl w:val="DF38F4EE"/>
    <w:lvl w:ilvl="0" w:tplc="19948B56">
      <w:start w:val="1"/>
      <w:numFmt w:val="decimal"/>
      <w:lvlText w:val="%1."/>
      <w:lvlJc w:val="left"/>
      <w:pPr>
        <w:ind w:left="786" w:hanging="360"/>
      </w:pPr>
      <w:rPr>
        <w:rFonts w:hint="default"/>
        <w:b/>
        <w:sz w:val="18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B527402"/>
    <w:multiLevelType w:val="hybridMultilevel"/>
    <w:tmpl w:val="79366BA8"/>
    <w:lvl w:ilvl="0" w:tplc="90EC3A22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419D55BA"/>
    <w:multiLevelType w:val="hybridMultilevel"/>
    <w:tmpl w:val="5224BDC2"/>
    <w:lvl w:ilvl="0" w:tplc="7514F540">
      <w:start w:val="1"/>
      <w:numFmt w:val="decimal"/>
      <w:lvlText w:val="%1."/>
      <w:lvlJc w:val="left"/>
      <w:pPr>
        <w:ind w:left="763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83" w:hanging="360"/>
      </w:pPr>
    </w:lvl>
    <w:lvl w:ilvl="2" w:tplc="0409001B" w:tentative="1">
      <w:start w:val="1"/>
      <w:numFmt w:val="lowerRoman"/>
      <w:lvlText w:val="%3."/>
      <w:lvlJc w:val="right"/>
      <w:pPr>
        <w:ind w:left="2203" w:hanging="180"/>
      </w:pPr>
    </w:lvl>
    <w:lvl w:ilvl="3" w:tplc="0409000F" w:tentative="1">
      <w:start w:val="1"/>
      <w:numFmt w:val="decimal"/>
      <w:lvlText w:val="%4."/>
      <w:lvlJc w:val="left"/>
      <w:pPr>
        <w:ind w:left="2923" w:hanging="360"/>
      </w:pPr>
    </w:lvl>
    <w:lvl w:ilvl="4" w:tplc="04090019" w:tentative="1">
      <w:start w:val="1"/>
      <w:numFmt w:val="lowerLetter"/>
      <w:lvlText w:val="%5."/>
      <w:lvlJc w:val="left"/>
      <w:pPr>
        <w:ind w:left="3643" w:hanging="360"/>
      </w:pPr>
    </w:lvl>
    <w:lvl w:ilvl="5" w:tplc="0409001B" w:tentative="1">
      <w:start w:val="1"/>
      <w:numFmt w:val="lowerRoman"/>
      <w:lvlText w:val="%6."/>
      <w:lvlJc w:val="right"/>
      <w:pPr>
        <w:ind w:left="4363" w:hanging="180"/>
      </w:pPr>
    </w:lvl>
    <w:lvl w:ilvl="6" w:tplc="0409000F" w:tentative="1">
      <w:start w:val="1"/>
      <w:numFmt w:val="decimal"/>
      <w:lvlText w:val="%7."/>
      <w:lvlJc w:val="left"/>
      <w:pPr>
        <w:ind w:left="5083" w:hanging="360"/>
      </w:pPr>
    </w:lvl>
    <w:lvl w:ilvl="7" w:tplc="04090019" w:tentative="1">
      <w:start w:val="1"/>
      <w:numFmt w:val="lowerLetter"/>
      <w:lvlText w:val="%8."/>
      <w:lvlJc w:val="left"/>
      <w:pPr>
        <w:ind w:left="5803" w:hanging="360"/>
      </w:pPr>
    </w:lvl>
    <w:lvl w:ilvl="8" w:tplc="0409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6" w15:restartNumberingAfterBreak="0">
    <w:nsid w:val="44907817"/>
    <w:multiLevelType w:val="multilevel"/>
    <w:tmpl w:val="DDACCFE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8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2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24" w:hanging="1800"/>
      </w:pPr>
      <w:rPr>
        <w:rFonts w:hint="default"/>
      </w:rPr>
    </w:lvl>
  </w:abstractNum>
  <w:abstractNum w:abstractNumId="7" w15:restartNumberingAfterBreak="0">
    <w:nsid w:val="464E6CD0"/>
    <w:multiLevelType w:val="hybridMultilevel"/>
    <w:tmpl w:val="5224BDC2"/>
    <w:lvl w:ilvl="0" w:tplc="7514F540">
      <w:start w:val="1"/>
      <w:numFmt w:val="decimal"/>
      <w:lvlText w:val="%1."/>
      <w:lvlJc w:val="left"/>
      <w:pPr>
        <w:ind w:left="763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83" w:hanging="360"/>
      </w:pPr>
    </w:lvl>
    <w:lvl w:ilvl="2" w:tplc="0409001B" w:tentative="1">
      <w:start w:val="1"/>
      <w:numFmt w:val="lowerRoman"/>
      <w:lvlText w:val="%3."/>
      <w:lvlJc w:val="right"/>
      <w:pPr>
        <w:ind w:left="2203" w:hanging="180"/>
      </w:pPr>
    </w:lvl>
    <w:lvl w:ilvl="3" w:tplc="0409000F" w:tentative="1">
      <w:start w:val="1"/>
      <w:numFmt w:val="decimal"/>
      <w:lvlText w:val="%4."/>
      <w:lvlJc w:val="left"/>
      <w:pPr>
        <w:ind w:left="2923" w:hanging="360"/>
      </w:pPr>
    </w:lvl>
    <w:lvl w:ilvl="4" w:tplc="04090019" w:tentative="1">
      <w:start w:val="1"/>
      <w:numFmt w:val="lowerLetter"/>
      <w:lvlText w:val="%5."/>
      <w:lvlJc w:val="left"/>
      <w:pPr>
        <w:ind w:left="3643" w:hanging="360"/>
      </w:pPr>
    </w:lvl>
    <w:lvl w:ilvl="5" w:tplc="0409001B" w:tentative="1">
      <w:start w:val="1"/>
      <w:numFmt w:val="lowerRoman"/>
      <w:lvlText w:val="%6."/>
      <w:lvlJc w:val="right"/>
      <w:pPr>
        <w:ind w:left="4363" w:hanging="180"/>
      </w:pPr>
    </w:lvl>
    <w:lvl w:ilvl="6" w:tplc="0409000F" w:tentative="1">
      <w:start w:val="1"/>
      <w:numFmt w:val="decimal"/>
      <w:lvlText w:val="%7."/>
      <w:lvlJc w:val="left"/>
      <w:pPr>
        <w:ind w:left="5083" w:hanging="360"/>
      </w:pPr>
    </w:lvl>
    <w:lvl w:ilvl="7" w:tplc="04090019" w:tentative="1">
      <w:start w:val="1"/>
      <w:numFmt w:val="lowerLetter"/>
      <w:lvlText w:val="%8."/>
      <w:lvlJc w:val="left"/>
      <w:pPr>
        <w:ind w:left="5803" w:hanging="360"/>
      </w:pPr>
    </w:lvl>
    <w:lvl w:ilvl="8" w:tplc="0409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8" w15:restartNumberingAfterBreak="0">
    <w:nsid w:val="4F232EB8"/>
    <w:multiLevelType w:val="hybridMultilevel"/>
    <w:tmpl w:val="40CA07E8"/>
    <w:lvl w:ilvl="0" w:tplc="080A000F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215" w:hanging="360"/>
      </w:pPr>
    </w:lvl>
    <w:lvl w:ilvl="2" w:tplc="080A001B" w:tentative="1">
      <w:start w:val="1"/>
      <w:numFmt w:val="lowerRoman"/>
      <w:lvlText w:val="%3."/>
      <w:lvlJc w:val="right"/>
      <w:pPr>
        <w:ind w:left="2935" w:hanging="180"/>
      </w:pPr>
    </w:lvl>
    <w:lvl w:ilvl="3" w:tplc="080A000F" w:tentative="1">
      <w:start w:val="1"/>
      <w:numFmt w:val="decimal"/>
      <w:lvlText w:val="%4."/>
      <w:lvlJc w:val="left"/>
      <w:pPr>
        <w:ind w:left="3655" w:hanging="360"/>
      </w:pPr>
    </w:lvl>
    <w:lvl w:ilvl="4" w:tplc="080A0019" w:tentative="1">
      <w:start w:val="1"/>
      <w:numFmt w:val="lowerLetter"/>
      <w:lvlText w:val="%5."/>
      <w:lvlJc w:val="left"/>
      <w:pPr>
        <w:ind w:left="4375" w:hanging="360"/>
      </w:pPr>
    </w:lvl>
    <w:lvl w:ilvl="5" w:tplc="080A001B" w:tentative="1">
      <w:start w:val="1"/>
      <w:numFmt w:val="lowerRoman"/>
      <w:lvlText w:val="%6."/>
      <w:lvlJc w:val="right"/>
      <w:pPr>
        <w:ind w:left="5095" w:hanging="180"/>
      </w:pPr>
    </w:lvl>
    <w:lvl w:ilvl="6" w:tplc="080A000F" w:tentative="1">
      <w:start w:val="1"/>
      <w:numFmt w:val="decimal"/>
      <w:lvlText w:val="%7."/>
      <w:lvlJc w:val="left"/>
      <w:pPr>
        <w:ind w:left="5815" w:hanging="360"/>
      </w:pPr>
    </w:lvl>
    <w:lvl w:ilvl="7" w:tplc="080A0019" w:tentative="1">
      <w:start w:val="1"/>
      <w:numFmt w:val="lowerLetter"/>
      <w:lvlText w:val="%8."/>
      <w:lvlJc w:val="left"/>
      <w:pPr>
        <w:ind w:left="6535" w:hanging="360"/>
      </w:pPr>
    </w:lvl>
    <w:lvl w:ilvl="8" w:tplc="080A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9" w15:restartNumberingAfterBreak="0">
    <w:nsid w:val="501A3C14"/>
    <w:multiLevelType w:val="multilevel"/>
    <w:tmpl w:val="229C03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sz w:val="2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sz w:val="20"/>
      </w:rPr>
    </w:lvl>
  </w:abstractNum>
  <w:abstractNum w:abstractNumId="10" w15:restartNumberingAfterBreak="0">
    <w:nsid w:val="529E352F"/>
    <w:multiLevelType w:val="hybridMultilevel"/>
    <w:tmpl w:val="BB8EBB1A"/>
    <w:lvl w:ilvl="0" w:tplc="D65ADD3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55B41400"/>
    <w:multiLevelType w:val="hybridMultilevel"/>
    <w:tmpl w:val="3F38A5AC"/>
    <w:lvl w:ilvl="0" w:tplc="63B0B5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C2B1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DE78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A24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8E54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E227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FA0D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B5D5801"/>
    <w:multiLevelType w:val="hybridMultilevel"/>
    <w:tmpl w:val="E02699B2"/>
    <w:lvl w:ilvl="0" w:tplc="DE88AF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B62C16"/>
    <w:multiLevelType w:val="hybridMultilevel"/>
    <w:tmpl w:val="E5A23552"/>
    <w:lvl w:ilvl="0" w:tplc="0A2A2962">
      <w:start w:val="1"/>
      <w:numFmt w:val="decimal"/>
      <w:lvlText w:val="%1."/>
      <w:lvlJc w:val="left"/>
      <w:pPr>
        <w:ind w:left="1211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5DFD0FBD"/>
    <w:multiLevelType w:val="multilevel"/>
    <w:tmpl w:val="D6F6122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9F6619D"/>
    <w:multiLevelType w:val="hybridMultilevel"/>
    <w:tmpl w:val="21B2EEE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180601"/>
    <w:multiLevelType w:val="hybridMultilevel"/>
    <w:tmpl w:val="1DE89D04"/>
    <w:lvl w:ilvl="0" w:tplc="8E6669CC">
      <w:start w:val="1"/>
      <w:numFmt w:val="decimal"/>
      <w:lvlText w:val="%1."/>
      <w:lvlJc w:val="left"/>
      <w:pPr>
        <w:ind w:left="7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3" w:hanging="360"/>
      </w:pPr>
    </w:lvl>
    <w:lvl w:ilvl="2" w:tplc="0409001B" w:tentative="1">
      <w:start w:val="1"/>
      <w:numFmt w:val="lowerRoman"/>
      <w:lvlText w:val="%3."/>
      <w:lvlJc w:val="right"/>
      <w:pPr>
        <w:ind w:left="2203" w:hanging="180"/>
      </w:pPr>
    </w:lvl>
    <w:lvl w:ilvl="3" w:tplc="0409000F" w:tentative="1">
      <w:start w:val="1"/>
      <w:numFmt w:val="decimal"/>
      <w:lvlText w:val="%4."/>
      <w:lvlJc w:val="left"/>
      <w:pPr>
        <w:ind w:left="2923" w:hanging="360"/>
      </w:pPr>
    </w:lvl>
    <w:lvl w:ilvl="4" w:tplc="04090019" w:tentative="1">
      <w:start w:val="1"/>
      <w:numFmt w:val="lowerLetter"/>
      <w:lvlText w:val="%5."/>
      <w:lvlJc w:val="left"/>
      <w:pPr>
        <w:ind w:left="3643" w:hanging="360"/>
      </w:pPr>
    </w:lvl>
    <w:lvl w:ilvl="5" w:tplc="0409001B" w:tentative="1">
      <w:start w:val="1"/>
      <w:numFmt w:val="lowerRoman"/>
      <w:lvlText w:val="%6."/>
      <w:lvlJc w:val="right"/>
      <w:pPr>
        <w:ind w:left="4363" w:hanging="180"/>
      </w:pPr>
    </w:lvl>
    <w:lvl w:ilvl="6" w:tplc="0409000F" w:tentative="1">
      <w:start w:val="1"/>
      <w:numFmt w:val="decimal"/>
      <w:lvlText w:val="%7."/>
      <w:lvlJc w:val="left"/>
      <w:pPr>
        <w:ind w:left="5083" w:hanging="360"/>
      </w:pPr>
    </w:lvl>
    <w:lvl w:ilvl="7" w:tplc="04090019" w:tentative="1">
      <w:start w:val="1"/>
      <w:numFmt w:val="lowerLetter"/>
      <w:lvlText w:val="%8."/>
      <w:lvlJc w:val="left"/>
      <w:pPr>
        <w:ind w:left="5803" w:hanging="360"/>
      </w:pPr>
    </w:lvl>
    <w:lvl w:ilvl="8" w:tplc="0409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17" w15:restartNumberingAfterBreak="0">
    <w:nsid w:val="74650E1B"/>
    <w:multiLevelType w:val="hybridMultilevel"/>
    <w:tmpl w:val="BB8EBB1A"/>
    <w:lvl w:ilvl="0" w:tplc="D65ADD3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 w15:restartNumberingAfterBreak="0">
    <w:nsid w:val="7BE0066C"/>
    <w:multiLevelType w:val="hybridMultilevel"/>
    <w:tmpl w:val="BB8EBB1A"/>
    <w:lvl w:ilvl="0" w:tplc="D65ADD3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7CDE15B5"/>
    <w:multiLevelType w:val="multilevel"/>
    <w:tmpl w:val="CDD86E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F9976D7"/>
    <w:multiLevelType w:val="hybridMultilevel"/>
    <w:tmpl w:val="D910B2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12"/>
  </w:num>
  <w:num w:numId="4">
    <w:abstractNumId w:val="15"/>
  </w:num>
  <w:num w:numId="5">
    <w:abstractNumId w:val="19"/>
  </w:num>
  <w:num w:numId="6">
    <w:abstractNumId w:val="14"/>
  </w:num>
  <w:num w:numId="7">
    <w:abstractNumId w:val="9"/>
  </w:num>
  <w:num w:numId="8">
    <w:abstractNumId w:val="2"/>
  </w:num>
  <w:num w:numId="9">
    <w:abstractNumId w:val="6"/>
  </w:num>
  <w:num w:numId="10">
    <w:abstractNumId w:val="1"/>
  </w:num>
  <w:num w:numId="11">
    <w:abstractNumId w:val="8"/>
  </w:num>
  <w:num w:numId="12">
    <w:abstractNumId w:val="18"/>
  </w:num>
  <w:num w:numId="13">
    <w:abstractNumId w:val="3"/>
  </w:num>
  <w:num w:numId="14">
    <w:abstractNumId w:val="4"/>
  </w:num>
  <w:num w:numId="15">
    <w:abstractNumId w:val="5"/>
  </w:num>
  <w:num w:numId="16">
    <w:abstractNumId w:val="16"/>
  </w:num>
  <w:num w:numId="17">
    <w:abstractNumId w:val="20"/>
  </w:num>
  <w:num w:numId="18">
    <w:abstractNumId w:val="13"/>
  </w:num>
  <w:num w:numId="19">
    <w:abstractNumId w:val="10"/>
  </w:num>
  <w:num w:numId="20">
    <w:abstractNumId w:val="17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232D"/>
    <w:rsid w:val="00050121"/>
    <w:rsid w:val="00060E08"/>
    <w:rsid w:val="000977DC"/>
    <w:rsid w:val="000A1DF0"/>
    <w:rsid w:val="000A79AB"/>
    <w:rsid w:val="000B4876"/>
    <w:rsid w:val="000D183E"/>
    <w:rsid w:val="000D232D"/>
    <w:rsid w:val="000D4A0C"/>
    <w:rsid w:val="00110803"/>
    <w:rsid w:val="00114B95"/>
    <w:rsid w:val="001243CB"/>
    <w:rsid w:val="0017723B"/>
    <w:rsid w:val="00194BA2"/>
    <w:rsid w:val="001C0F6A"/>
    <w:rsid w:val="001D3BFD"/>
    <w:rsid w:val="001F11C4"/>
    <w:rsid w:val="002023BE"/>
    <w:rsid w:val="002104D9"/>
    <w:rsid w:val="00217B19"/>
    <w:rsid w:val="00272EE4"/>
    <w:rsid w:val="00327972"/>
    <w:rsid w:val="00352CF5"/>
    <w:rsid w:val="0037163C"/>
    <w:rsid w:val="00376D93"/>
    <w:rsid w:val="003E53A9"/>
    <w:rsid w:val="003F41D8"/>
    <w:rsid w:val="0040410F"/>
    <w:rsid w:val="00443C36"/>
    <w:rsid w:val="004E1843"/>
    <w:rsid w:val="004F6224"/>
    <w:rsid w:val="0054541A"/>
    <w:rsid w:val="005536B6"/>
    <w:rsid w:val="0059358B"/>
    <w:rsid w:val="005E58EC"/>
    <w:rsid w:val="0061564A"/>
    <w:rsid w:val="00624E86"/>
    <w:rsid w:val="006F6FE7"/>
    <w:rsid w:val="00731A76"/>
    <w:rsid w:val="0074543F"/>
    <w:rsid w:val="007A76C7"/>
    <w:rsid w:val="007E36AD"/>
    <w:rsid w:val="0080045C"/>
    <w:rsid w:val="00815253"/>
    <w:rsid w:val="00817818"/>
    <w:rsid w:val="00820C27"/>
    <w:rsid w:val="00827844"/>
    <w:rsid w:val="0083111D"/>
    <w:rsid w:val="00852989"/>
    <w:rsid w:val="008E30A3"/>
    <w:rsid w:val="008F4973"/>
    <w:rsid w:val="009037FB"/>
    <w:rsid w:val="00967E41"/>
    <w:rsid w:val="0097182F"/>
    <w:rsid w:val="00972DDC"/>
    <w:rsid w:val="009A5A4A"/>
    <w:rsid w:val="009D34CE"/>
    <w:rsid w:val="00A15936"/>
    <w:rsid w:val="00A449DE"/>
    <w:rsid w:val="00A46505"/>
    <w:rsid w:val="00A5481D"/>
    <w:rsid w:val="00A636D8"/>
    <w:rsid w:val="00AC1B7C"/>
    <w:rsid w:val="00AE2CB5"/>
    <w:rsid w:val="00AF23AD"/>
    <w:rsid w:val="00AF7DF9"/>
    <w:rsid w:val="00B061E3"/>
    <w:rsid w:val="00B1504E"/>
    <w:rsid w:val="00B34EA9"/>
    <w:rsid w:val="00B34FE3"/>
    <w:rsid w:val="00B55349"/>
    <w:rsid w:val="00B97AB3"/>
    <w:rsid w:val="00BA2451"/>
    <w:rsid w:val="00BE06F1"/>
    <w:rsid w:val="00BE346A"/>
    <w:rsid w:val="00BE5616"/>
    <w:rsid w:val="00C62714"/>
    <w:rsid w:val="00C762C5"/>
    <w:rsid w:val="00C94780"/>
    <w:rsid w:val="00CA43CF"/>
    <w:rsid w:val="00CA4D0D"/>
    <w:rsid w:val="00CD2DFE"/>
    <w:rsid w:val="00CD507B"/>
    <w:rsid w:val="00D3396F"/>
    <w:rsid w:val="00DD00EE"/>
    <w:rsid w:val="00DD37DD"/>
    <w:rsid w:val="00DF39F8"/>
    <w:rsid w:val="00E05147"/>
    <w:rsid w:val="00E21FE7"/>
    <w:rsid w:val="00E45216"/>
    <w:rsid w:val="00E63354"/>
    <w:rsid w:val="00E75CF9"/>
    <w:rsid w:val="00EB52B1"/>
    <w:rsid w:val="00EC228A"/>
    <w:rsid w:val="00F35BD0"/>
    <w:rsid w:val="00F44167"/>
    <w:rsid w:val="00F45E88"/>
    <w:rsid w:val="00F64582"/>
    <w:rsid w:val="00F924B5"/>
    <w:rsid w:val="00F947C6"/>
    <w:rsid w:val="00FA5F4E"/>
    <w:rsid w:val="00FB1E99"/>
    <w:rsid w:val="00FC0389"/>
    <w:rsid w:val="00FD248F"/>
    <w:rsid w:val="00FF3129"/>
    <w:rsid w:val="00FF7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A502BA7-DA03-4830-A3EF-E504977A5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67E41"/>
    <w:pPr>
      <w:spacing w:after="0" w:line="240" w:lineRule="auto"/>
    </w:pPr>
    <w:rPr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D232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D232D"/>
    <w:rPr>
      <w:sz w:val="24"/>
      <w:szCs w:val="24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0D232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D232D"/>
    <w:rPr>
      <w:sz w:val="24"/>
      <w:szCs w:val="24"/>
      <w:lang w:val="es-ES_tradnl"/>
    </w:rPr>
  </w:style>
  <w:style w:type="table" w:styleId="Tablaconcuadrcula">
    <w:name w:val="Table Grid"/>
    <w:basedOn w:val="Tablanormal"/>
    <w:uiPriority w:val="39"/>
    <w:rsid w:val="000D232D"/>
    <w:pPr>
      <w:spacing w:after="0" w:line="240" w:lineRule="auto"/>
    </w:pPr>
    <w:rPr>
      <w:sz w:val="24"/>
      <w:szCs w:val="24"/>
      <w:lang w:val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1C0F6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9478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94780"/>
    <w:rPr>
      <w:rFonts w:ascii="Segoe UI" w:hAnsi="Segoe UI" w:cs="Segoe UI"/>
      <w:sz w:val="18"/>
      <w:szCs w:val="18"/>
      <w:lang w:val="es-ES_tradnl"/>
    </w:rPr>
  </w:style>
  <w:style w:type="paragraph" w:styleId="NormalWeb">
    <w:name w:val="Normal (Web)"/>
    <w:basedOn w:val="Normal"/>
    <w:uiPriority w:val="99"/>
    <w:semiHidden/>
    <w:unhideWhenUsed/>
    <w:rsid w:val="00CD507B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37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826</Words>
  <Characters>4544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Jesus Efren Camacho Guerra</dc:creator>
  <cp:keywords/>
  <dc:description/>
  <cp:lastModifiedBy>Zitlally Ramirez Chaparro</cp:lastModifiedBy>
  <cp:revision>2</cp:revision>
  <cp:lastPrinted>2021-11-26T00:36:00Z</cp:lastPrinted>
  <dcterms:created xsi:type="dcterms:W3CDTF">2023-02-01T20:11:00Z</dcterms:created>
  <dcterms:modified xsi:type="dcterms:W3CDTF">2023-02-01T20:11:00Z</dcterms:modified>
</cp:coreProperties>
</file>